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附：</w:t>
      </w:r>
    </w:p>
    <w:p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803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80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3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陈海艳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崇阳县农村公路事业发展中心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王靖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湖北省桂花林场管理局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徐威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湖北通远建设集团有限公司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甘细明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崇阳县林产工业总公司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汪洋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赵胤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刘文豪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庞启</w:t>
            </w:r>
          </w:p>
        </w:tc>
        <w:tc>
          <w:tcPr>
            <w:tcW w:w="4803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23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技术员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248725E1"/>
    <w:rsid w:val="1ACA76B3"/>
    <w:rsid w:val="1AF62CFE"/>
    <w:rsid w:val="248725E1"/>
    <w:rsid w:val="2D0F40A5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2023-11-15T06:02:00Z</dcterms:created>
  <dc:creator>Charles1387196178</dc:creator>
  <cp:lastModifiedBy>Charles1387196178</cp:lastModifiedBy>
  <dcterms:modified xsi:type="dcterms:W3CDTF">2023-11-15T06:02:57Z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8D2491550A794078BAA2C2BE078AFD23_11</vt:lpwstr>
  </property>
</Properties>
</file>